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30B9" w14:textId="77777777" w:rsidR="007A7A34" w:rsidRPr="007A7A34" w:rsidRDefault="007A7A34" w:rsidP="00402727">
      <w:pPr>
        <w:spacing w:line="360" w:lineRule="auto"/>
        <w:jc w:val="center"/>
        <w:rPr>
          <w:b/>
          <w:noProof/>
          <w:sz w:val="32"/>
          <w:szCs w:val="32"/>
          <w:lang w:val="uz-Cyrl-UZ"/>
        </w:rPr>
      </w:pPr>
      <w:r w:rsidRPr="007A7A34">
        <w:rPr>
          <w:b/>
          <w:noProof/>
          <w:sz w:val="32"/>
          <w:szCs w:val="32"/>
          <w:lang w:val="uz-Cyrl-UZ"/>
        </w:rPr>
        <w:t>“Buxoro-Urganch-Xiva temir yoʻl liniyasini elektrlashtirish” investitsiya loyihasi</w:t>
      </w:r>
    </w:p>
    <w:p w14:paraId="2311EF6B" w14:textId="77777777" w:rsidR="007A7A34" w:rsidRPr="007A7A34" w:rsidRDefault="007A7A34" w:rsidP="00402727">
      <w:pPr>
        <w:tabs>
          <w:tab w:val="left" w:pos="709"/>
        </w:tabs>
        <w:spacing w:line="360" w:lineRule="auto"/>
        <w:ind w:firstLine="709"/>
        <w:jc w:val="center"/>
        <w:rPr>
          <w:b/>
          <w:noProof/>
          <w:sz w:val="28"/>
          <w:szCs w:val="28"/>
          <w:lang w:val="uz-Cyrl-UZ"/>
        </w:rPr>
      </w:pPr>
    </w:p>
    <w:p w14:paraId="021A96EB" w14:textId="77777777" w:rsidR="007A7A34" w:rsidRPr="007A7A34" w:rsidRDefault="007A7A34" w:rsidP="00402727">
      <w:pPr>
        <w:spacing w:line="360" w:lineRule="auto"/>
        <w:ind w:firstLine="709"/>
        <w:jc w:val="both"/>
        <w:rPr>
          <w:noProof/>
          <w:sz w:val="28"/>
          <w:szCs w:val="28"/>
          <w:lang w:val="uz-Cyrl-UZ"/>
        </w:rPr>
      </w:pPr>
      <w:r w:rsidRPr="007A7A34">
        <w:rPr>
          <w:b/>
          <w:noProof/>
          <w:color w:val="FF0000"/>
          <w:sz w:val="28"/>
          <w:szCs w:val="28"/>
          <w:u w:val="single"/>
          <w:lang w:val="uz-Cyrl-UZ"/>
        </w:rPr>
        <w:t>Asos:</w:t>
      </w:r>
      <w:r w:rsidRPr="007A7A34">
        <w:rPr>
          <w:b/>
          <w:noProof/>
          <w:color w:val="FF0000"/>
          <w:sz w:val="28"/>
          <w:szCs w:val="28"/>
          <w:lang w:val="uz-Cyrl-UZ"/>
        </w:rPr>
        <w:t xml:space="preserve"> </w:t>
      </w:r>
      <w:r w:rsidRPr="007A7A34">
        <w:rPr>
          <w:noProof/>
          <w:sz w:val="28"/>
          <w:szCs w:val="28"/>
          <w:lang w:val="uz-Cyrl-UZ"/>
        </w:rPr>
        <w:t xml:space="preserve">Respublikasi Prezidentining 2015-yil 6-martdagi PQ-2313-sonli “2015-2019-yillarda muhandislik, kommunikatsiya va yoʻl-transport infratuzilmasini rivojlantirish va modernizatsiya qilish dasturi toʻgʻrisida”gi, shuningdek, Oʻzbekiston Respublikasi Prezidentining 2021-yil </w:t>
      </w:r>
      <w:r w:rsidRPr="007A7A34">
        <w:rPr>
          <w:noProof/>
          <w:sz w:val="28"/>
          <w:szCs w:val="28"/>
          <w:lang w:val="uz-Cyrl-UZ"/>
        </w:rPr>
        <w:br/>
        <w:t>30-dekabrdagi PQ–72-son “Oʻzbekiston Respublikasining 2022-2026-yillarga moʻljallangan investitsiya dasturini tasdiqlash hamda investitsiya loyihalarini boshqarishning yangi yondashuv va mexanizmlarini joriy etish toʻgʻrisida” qarorlariga muvofiq, “Buxoro-Urganch-Xiva temir yoʻl liniyasini elektrlashtirish” loyihasini Osiyo taraqqiyot banki va Osiyo infratuzilmaviy investitsiyalar bankining mablagʻlari hisobiga amalga oshirish koʻzda tutilgan.</w:t>
      </w:r>
    </w:p>
    <w:p w14:paraId="511C6DF1"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b/>
          <w:noProof/>
          <w:color w:val="FF0000"/>
          <w:sz w:val="28"/>
          <w:szCs w:val="28"/>
          <w:u w:val="single"/>
          <w:lang w:val="uz-Cyrl-UZ"/>
        </w:rPr>
        <w:t>Loyiha maqsadi:</w:t>
      </w:r>
      <w:r w:rsidRPr="007A7A34">
        <w:rPr>
          <w:b/>
          <w:noProof/>
          <w:color w:val="FF0000"/>
          <w:sz w:val="28"/>
          <w:szCs w:val="28"/>
          <w:lang w:val="uz-Cyrl-UZ"/>
        </w:rPr>
        <w:t xml:space="preserve"> </w:t>
      </w:r>
      <w:r w:rsidRPr="007A7A34">
        <w:rPr>
          <w:noProof/>
          <w:sz w:val="28"/>
          <w:szCs w:val="28"/>
          <w:lang w:val="uz-Cyrl-UZ"/>
        </w:rPr>
        <w:t>Tezyurar poyezdlar harakatini tashkil etish, Toshkent, Samarkand, Buxoro va Xiva shaharlarini yagona transport yoʻnalishiga birlashtiruvchi turistik marshrutni shakllantirish asosida Xorazm viloyati va Xiva shahrining turistik salohiyatidan amaliy foydalanish hamda Qoraqalpogʻiston Respublikasi, Buxoro va Xorazm viloyatlari transport infratuzilmasini yanada rivojlantirish</w:t>
      </w:r>
    </w:p>
    <w:p w14:paraId="4AB295B6"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b/>
          <w:noProof/>
          <w:color w:val="FF0000"/>
          <w:sz w:val="28"/>
          <w:szCs w:val="28"/>
          <w:u w:val="single"/>
          <w:lang w:val="uz-Cyrl-UZ"/>
        </w:rPr>
        <w:t>Loyihachi</w:t>
      </w:r>
      <w:r w:rsidRPr="007A7A34">
        <w:rPr>
          <w:b/>
          <w:noProof/>
          <w:color w:val="FF0000"/>
          <w:sz w:val="28"/>
          <w:szCs w:val="28"/>
          <w:lang w:val="uz-Cyrl-UZ"/>
        </w:rPr>
        <w:t xml:space="preserve"> </w:t>
      </w:r>
      <w:r w:rsidRPr="007A7A34">
        <w:rPr>
          <w:noProof/>
          <w:sz w:val="28"/>
          <w:szCs w:val="28"/>
          <w:lang w:val="uz-Cyrl-UZ"/>
        </w:rPr>
        <w:t xml:space="preserve">– “Boshtransloyiha” MCHJ. </w:t>
      </w:r>
    </w:p>
    <w:p w14:paraId="40264BD2" w14:textId="77777777" w:rsidR="007A7A34" w:rsidRPr="007A7A34" w:rsidRDefault="007A7A34" w:rsidP="00402727">
      <w:pPr>
        <w:tabs>
          <w:tab w:val="left" w:pos="709"/>
        </w:tabs>
        <w:spacing w:before="120" w:after="120" w:line="360" w:lineRule="auto"/>
        <w:ind w:firstLine="709"/>
        <w:jc w:val="both"/>
        <w:rPr>
          <w:b/>
          <w:noProof/>
          <w:color w:val="0000FF"/>
          <w:sz w:val="28"/>
          <w:szCs w:val="28"/>
          <w:lang w:val="uz-Cyrl-UZ"/>
        </w:rPr>
      </w:pPr>
      <w:r w:rsidRPr="007A7A34">
        <w:rPr>
          <w:b/>
          <w:noProof/>
          <w:color w:val="FF0000"/>
          <w:sz w:val="28"/>
          <w:szCs w:val="28"/>
          <w:u w:val="single"/>
          <w:lang w:val="uz-Cyrl-UZ"/>
        </w:rPr>
        <w:t>Pudratchi</w:t>
      </w:r>
      <w:r w:rsidRPr="007A7A34">
        <w:rPr>
          <w:noProof/>
          <w:sz w:val="28"/>
          <w:szCs w:val="28"/>
          <w:lang w:val="uz-Cyrl-UZ"/>
        </w:rPr>
        <w:t xml:space="preserve"> – “Oʻzbekiston temir yoʻllari” AJning tarkibiy boʻlinmalari.</w:t>
      </w:r>
    </w:p>
    <w:p w14:paraId="183795ED"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b/>
          <w:noProof/>
          <w:color w:val="FF0000"/>
          <w:sz w:val="28"/>
          <w:szCs w:val="28"/>
          <w:u w:val="single"/>
          <w:lang w:val="uz-Cyrl-UZ"/>
        </w:rPr>
        <w:t>Moliyalashtirish manbai</w:t>
      </w:r>
      <w:r w:rsidRPr="007A7A34">
        <w:rPr>
          <w:b/>
          <w:noProof/>
          <w:color w:val="FF0000"/>
          <w:sz w:val="28"/>
          <w:szCs w:val="28"/>
          <w:lang w:val="uz-Cyrl-UZ"/>
        </w:rPr>
        <w:t xml:space="preserve"> </w:t>
      </w:r>
      <w:r w:rsidRPr="007A7A34">
        <w:rPr>
          <w:noProof/>
          <w:sz w:val="28"/>
          <w:szCs w:val="28"/>
          <w:lang w:val="uz-Cyrl-UZ"/>
        </w:rPr>
        <w:t>– “Oʻzbekiston temir yoʻllari” AJ mablagʻlari shuningdek Osiyo taraqqiyot banki va Osiyo infratuzilma investitsiya banki mablagʻlari hisobidan.</w:t>
      </w:r>
    </w:p>
    <w:p w14:paraId="277F6863"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b/>
          <w:noProof/>
          <w:color w:val="FF0000"/>
          <w:sz w:val="28"/>
          <w:szCs w:val="28"/>
          <w:u w:val="single"/>
          <w:lang w:val="uz-Cyrl-UZ"/>
        </w:rPr>
        <w:t>Obyektning tahminiy umumiy qiymati</w:t>
      </w:r>
      <w:r w:rsidRPr="007A7A34">
        <w:rPr>
          <w:b/>
          <w:noProof/>
          <w:sz w:val="28"/>
          <w:szCs w:val="28"/>
          <w:lang w:val="uz-Cyrl-UZ"/>
        </w:rPr>
        <w:t xml:space="preserve"> – </w:t>
      </w:r>
      <w:r w:rsidRPr="007A7A34">
        <w:rPr>
          <w:b/>
          <w:noProof/>
          <w:sz w:val="28"/>
          <w:szCs w:val="28"/>
          <w:lang w:val="en-US"/>
        </w:rPr>
        <w:t>445,6</w:t>
      </w:r>
      <w:r w:rsidRPr="007A7A34">
        <w:rPr>
          <w:b/>
          <w:noProof/>
          <w:sz w:val="28"/>
          <w:szCs w:val="28"/>
          <w:lang w:val="uz-Cyrl-UZ"/>
        </w:rPr>
        <w:t xml:space="preserve"> mln. dollar, shundan:</w:t>
      </w:r>
    </w:p>
    <w:p w14:paraId="5DD455C9"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“Oʻzbekiston temir yoʻllari” AJ oʻz mablagʻlari – 175,66 mln. dollar;</w:t>
      </w:r>
    </w:p>
    <w:p w14:paraId="35EBE639"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Xalqaro moliya institutlari mablagʻlari 270,0 mln. dollar hisobiga amalga oshirilishi rejalashtirilgan, shu jumladan, OTB qarz mablagʻlari – 162,0 mln. dollar hamda OIIB – 108,0 mln. dollar imtiyozli qarz mablagʻlari.</w:t>
      </w:r>
    </w:p>
    <w:p w14:paraId="35EBE942" w14:textId="77777777" w:rsidR="007A7A34" w:rsidRPr="007A7A34" w:rsidRDefault="007A7A34" w:rsidP="00402727">
      <w:pPr>
        <w:tabs>
          <w:tab w:val="left" w:pos="709"/>
        </w:tabs>
        <w:spacing w:before="120" w:after="120" w:line="360" w:lineRule="auto"/>
        <w:ind w:firstLine="709"/>
        <w:jc w:val="both"/>
        <w:rPr>
          <w:b/>
          <w:noProof/>
          <w:color w:val="FF0000"/>
          <w:sz w:val="28"/>
          <w:szCs w:val="28"/>
          <w:lang w:val="uz-Cyrl-UZ"/>
        </w:rPr>
      </w:pPr>
      <w:r w:rsidRPr="007A7A34">
        <w:rPr>
          <w:b/>
          <w:noProof/>
          <w:color w:val="FF0000"/>
          <w:sz w:val="28"/>
          <w:szCs w:val="28"/>
          <w:u w:val="single"/>
          <w:lang w:val="uz-Cyrl-UZ"/>
        </w:rPr>
        <w:lastRenderedPageBreak/>
        <w:t>Loyixani amalga oshirish muddati:</w:t>
      </w:r>
      <w:r w:rsidRPr="007A7A34">
        <w:rPr>
          <w:noProof/>
          <w:sz w:val="28"/>
          <w:szCs w:val="28"/>
          <w:lang w:val="uz-Cyrl-UZ"/>
        </w:rPr>
        <w:t xml:space="preserve"> </w:t>
      </w:r>
      <w:r w:rsidRPr="007A7A34">
        <w:rPr>
          <w:b/>
          <w:noProof/>
          <w:sz w:val="28"/>
          <w:szCs w:val="28"/>
          <w:lang w:val="uz-Cyrl-UZ"/>
        </w:rPr>
        <w:t>2022 - 2026 yy.</w:t>
      </w:r>
    </w:p>
    <w:p w14:paraId="36604692" w14:textId="77777777" w:rsidR="007A7A34" w:rsidRPr="007A7A34" w:rsidRDefault="007A7A34" w:rsidP="00402727">
      <w:pPr>
        <w:tabs>
          <w:tab w:val="left" w:pos="709"/>
        </w:tabs>
        <w:spacing w:before="120" w:after="120" w:line="360" w:lineRule="auto"/>
        <w:ind w:firstLine="709"/>
        <w:jc w:val="both"/>
        <w:rPr>
          <w:b/>
          <w:noProof/>
          <w:sz w:val="28"/>
          <w:szCs w:val="28"/>
          <w:lang w:val="uz-Cyrl-UZ"/>
        </w:rPr>
      </w:pPr>
      <w:r w:rsidRPr="007A7A34">
        <w:rPr>
          <w:b/>
          <w:noProof/>
          <w:color w:val="FF0000"/>
          <w:sz w:val="28"/>
          <w:szCs w:val="28"/>
          <w:u w:val="single"/>
          <w:lang w:val="uz-Cyrl-UZ"/>
        </w:rPr>
        <w:t>Loyiha uzunligi:</w:t>
      </w:r>
      <w:r w:rsidRPr="007A7A34">
        <w:rPr>
          <w:b/>
          <w:noProof/>
          <w:color w:val="FF0000"/>
          <w:sz w:val="28"/>
          <w:szCs w:val="28"/>
          <w:lang w:val="uz-Cyrl-UZ"/>
        </w:rPr>
        <w:t xml:space="preserve"> </w:t>
      </w:r>
      <w:r w:rsidRPr="007A7A34">
        <w:rPr>
          <w:b/>
          <w:noProof/>
          <w:sz w:val="28"/>
          <w:szCs w:val="28"/>
          <w:lang w:val="uz-Cyrl-UZ"/>
        </w:rPr>
        <w:t>465 km.</w:t>
      </w:r>
    </w:p>
    <w:p w14:paraId="26800E5B"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 xml:space="preserve">Loyihani amalga oshirish: </w:t>
      </w:r>
    </w:p>
    <w:p w14:paraId="19B37F32"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temir yoʻlning oʻtkazuvchanligini oshirish;</w:t>
      </w:r>
    </w:p>
    <w:p w14:paraId="1623553E"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yuk tashish imkoniyatlarini oshirish, yoʻlovchilar tashish uchun ortib borayotgan talabni qondirish;</w:t>
      </w:r>
    </w:p>
    <w:p w14:paraId="6489E837"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ekspluatatsiya harajatlarini kamaytirish;</w:t>
      </w:r>
    </w:p>
    <w:p w14:paraId="199E64C4"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yoʻlovchilarni belgilangan joyga yetkazib berish vaqtini qisqartirish;</w:t>
      </w:r>
    </w:p>
    <w:p w14:paraId="6C8C846C"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poyezdlar harakat xavfsizligini taʼminlash;</w:t>
      </w:r>
    </w:p>
    <w:p w14:paraId="65C11F8A"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shu temir yoʻl qismida poyezdlar tezligini oshirish hisobiga liniyaning oʻtkazuvchanligini va yoʻlovchi aylanmasini oshirish;</w:t>
      </w:r>
    </w:p>
    <w:p w14:paraId="3CE3D829"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mintaqadagi ekologik vaziyatni yaxshilash;</w:t>
      </w:r>
    </w:p>
    <w:p w14:paraId="0BE86D5F" w14:textId="77777777" w:rsidR="007A7A34" w:rsidRPr="007A7A34" w:rsidRDefault="007A7A34" w:rsidP="00402727">
      <w:pPr>
        <w:tabs>
          <w:tab w:val="left" w:pos="709"/>
        </w:tabs>
        <w:spacing w:before="120" w:after="120" w:line="360" w:lineRule="auto"/>
        <w:ind w:firstLine="709"/>
        <w:jc w:val="both"/>
        <w:rPr>
          <w:noProof/>
          <w:sz w:val="28"/>
          <w:szCs w:val="28"/>
          <w:lang w:val="uz-Cyrl-UZ"/>
        </w:rPr>
      </w:pPr>
      <w:r w:rsidRPr="007A7A34">
        <w:rPr>
          <w:noProof/>
          <w:sz w:val="28"/>
          <w:szCs w:val="28"/>
          <w:lang w:val="uz-Cyrl-UZ"/>
        </w:rPr>
        <w:t>qurilish vaqtida va loyiha ishga tushgandan soʻng yangi ish oʻrinlarini yaratish imkonini beradi.</w:t>
      </w:r>
    </w:p>
    <w:p w14:paraId="6EB88C22" w14:textId="77777777" w:rsidR="007A7A34" w:rsidRPr="00402727" w:rsidRDefault="007A7A34" w:rsidP="00402727">
      <w:pPr>
        <w:spacing w:before="120"/>
        <w:ind w:firstLine="426"/>
        <w:jc w:val="both"/>
        <w:rPr>
          <w:b/>
          <w:noProof/>
          <w:color w:val="0000FF"/>
          <w:sz w:val="26"/>
          <w:szCs w:val="26"/>
          <w:lang w:val="uz-Cyrl-UZ"/>
        </w:rPr>
      </w:pPr>
    </w:p>
    <w:p w14:paraId="52B36B1C" w14:textId="77777777" w:rsidR="00F71AB8" w:rsidRPr="007A7A34" w:rsidRDefault="00F71AB8">
      <w:pPr>
        <w:spacing w:before="120"/>
        <w:ind w:firstLine="426"/>
        <w:jc w:val="both"/>
        <w:rPr>
          <w:b/>
          <w:noProof/>
          <w:color w:val="0000FF"/>
          <w:sz w:val="26"/>
          <w:szCs w:val="26"/>
          <w:lang w:val="uz-Cyrl-UZ"/>
        </w:rPr>
      </w:pPr>
    </w:p>
    <w:p w14:paraId="4820F786" w14:textId="77777777" w:rsidR="00F71AB8" w:rsidRPr="007A7A34" w:rsidRDefault="00F71AB8">
      <w:pPr>
        <w:spacing w:before="120"/>
        <w:ind w:firstLine="426"/>
        <w:jc w:val="both"/>
        <w:rPr>
          <w:b/>
          <w:noProof/>
          <w:color w:val="0000FF"/>
          <w:sz w:val="26"/>
          <w:szCs w:val="26"/>
          <w:lang w:val="uz-Cyrl-UZ"/>
        </w:rPr>
      </w:pPr>
    </w:p>
    <w:p w14:paraId="33C4AE2A" w14:textId="77777777" w:rsidR="00F71AB8" w:rsidRPr="007A7A34" w:rsidRDefault="00F71AB8">
      <w:pPr>
        <w:spacing w:before="120"/>
        <w:ind w:firstLine="426"/>
        <w:jc w:val="both"/>
        <w:rPr>
          <w:b/>
          <w:noProof/>
          <w:color w:val="0000FF"/>
          <w:sz w:val="26"/>
          <w:szCs w:val="26"/>
          <w:lang w:val="uz-Cyrl-UZ"/>
        </w:rPr>
      </w:pPr>
    </w:p>
    <w:sectPr w:rsidR="00F71AB8" w:rsidRPr="007A7A34" w:rsidSect="00650A7A">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229B"/>
    <w:multiLevelType w:val="hybridMultilevel"/>
    <w:tmpl w:val="9AB0D00A"/>
    <w:lvl w:ilvl="0" w:tplc="E94A4FB0">
      <w:start w:val="411"/>
      <w:numFmt w:val="bullet"/>
      <w:lvlText w:val="-"/>
      <w:lvlJc w:val="left"/>
      <w:pPr>
        <w:ind w:left="743" w:hanging="360"/>
      </w:pPr>
      <w:rPr>
        <w:rFonts w:ascii="Times New Roman" w:eastAsia="Times New Roman" w:hAnsi="Times New Roman"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 w15:restartNumberingAfterBreak="0">
    <w:nsid w:val="7CB02E2C"/>
    <w:multiLevelType w:val="hybridMultilevel"/>
    <w:tmpl w:val="E278CC30"/>
    <w:lvl w:ilvl="0" w:tplc="C736E700">
      <w:start w:val="6"/>
      <w:numFmt w:val="bullet"/>
      <w:lvlText w:val="-"/>
      <w:lvlJc w:val="left"/>
      <w:pPr>
        <w:ind w:left="501" w:hanging="360"/>
      </w:pPr>
      <w:rPr>
        <w:rFonts w:ascii="Times New Roman" w:eastAsia="Times New Roman" w:hAnsi="Times New Roman" w:hint="default"/>
        <w:b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CE"/>
    <w:rsid w:val="00003F10"/>
    <w:rsid w:val="000130BC"/>
    <w:rsid w:val="000261C3"/>
    <w:rsid w:val="00030807"/>
    <w:rsid w:val="00037DC8"/>
    <w:rsid w:val="000501DF"/>
    <w:rsid w:val="000611BC"/>
    <w:rsid w:val="00085448"/>
    <w:rsid w:val="00095A68"/>
    <w:rsid w:val="000E2F31"/>
    <w:rsid w:val="00116B9B"/>
    <w:rsid w:val="00125A2C"/>
    <w:rsid w:val="00131687"/>
    <w:rsid w:val="00135251"/>
    <w:rsid w:val="00141633"/>
    <w:rsid w:val="001444AB"/>
    <w:rsid w:val="00147F93"/>
    <w:rsid w:val="00156295"/>
    <w:rsid w:val="001572F3"/>
    <w:rsid w:val="00165AEC"/>
    <w:rsid w:val="00176D4A"/>
    <w:rsid w:val="0017733D"/>
    <w:rsid w:val="00183806"/>
    <w:rsid w:val="00193641"/>
    <w:rsid w:val="00193FA0"/>
    <w:rsid w:val="00196202"/>
    <w:rsid w:val="001963DA"/>
    <w:rsid w:val="001971B3"/>
    <w:rsid w:val="001A0DFB"/>
    <w:rsid w:val="001A6547"/>
    <w:rsid w:val="001B1AD1"/>
    <w:rsid w:val="001C25FB"/>
    <w:rsid w:val="001C6502"/>
    <w:rsid w:val="001D56E2"/>
    <w:rsid w:val="001D64DC"/>
    <w:rsid w:val="001E32EE"/>
    <w:rsid w:val="00231995"/>
    <w:rsid w:val="002366A9"/>
    <w:rsid w:val="00237032"/>
    <w:rsid w:val="00237942"/>
    <w:rsid w:val="002403E8"/>
    <w:rsid w:val="0024744A"/>
    <w:rsid w:val="002531C2"/>
    <w:rsid w:val="00264167"/>
    <w:rsid w:val="00265479"/>
    <w:rsid w:val="00266D12"/>
    <w:rsid w:val="00267597"/>
    <w:rsid w:val="0027447D"/>
    <w:rsid w:val="002847C6"/>
    <w:rsid w:val="0029246B"/>
    <w:rsid w:val="00296409"/>
    <w:rsid w:val="00296D09"/>
    <w:rsid w:val="002979E2"/>
    <w:rsid w:val="002B2CC0"/>
    <w:rsid w:val="002D276D"/>
    <w:rsid w:val="002D2C7E"/>
    <w:rsid w:val="002F3F1E"/>
    <w:rsid w:val="003075FA"/>
    <w:rsid w:val="003124B0"/>
    <w:rsid w:val="00314137"/>
    <w:rsid w:val="00332CC6"/>
    <w:rsid w:val="003425F4"/>
    <w:rsid w:val="00343D9B"/>
    <w:rsid w:val="0034620E"/>
    <w:rsid w:val="00376CC1"/>
    <w:rsid w:val="0039134C"/>
    <w:rsid w:val="003947A8"/>
    <w:rsid w:val="003A31CE"/>
    <w:rsid w:val="003D18C2"/>
    <w:rsid w:val="003D301A"/>
    <w:rsid w:val="003F644E"/>
    <w:rsid w:val="004051AC"/>
    <w:rsid w:val="004238BC"/>
    <w:rsid w:val="0044382C"/>
    <w:rsid w:val="0044564B"/>
    <w:rsid w:val="0044790F"/>
    <w:rsid w:val="0045123D"/>
    <w:rsid w:val="004514B9"/>
    <w:rsid w:val="0045215F"/>
    <w:rsid w:val="00482EF9"/>
    <w:rsid w:val="004839DB"/>
    <w:rsid w:val="004A7328"/>
    <w:rsid w:val="004D37AA"/>
    <w:rsid w:val="004F0246"/>
    <w:rsid w:val="004F5562"/>
    <w:rsid w:val="00503C41"/>
    <w:rsid w:val="005151C9"/>
    <w:rsid w:val="0053403A"/>
    <w:rsid w:val="0056632E"/>
    <w:rsid w:val="00572B39"/>
    <w:rsid w:val="00574B6A"/>
    <w:rsid w:val="00576DD7"/>
    <w:rsid w:val="005851D4"/>
    <w:rsid w:val="005858DA"/>
    <w:rsid w:val="00593C86"/>
    <w:rsid w:val="00594907"/>
    <w:rsid w:val="005949A2"/>
    <w:rsid w:val="005968E1"/>
    <w:rsid w:val="005B4607"/>
    <w:rsid w:val="005C26F0"/>
    <w:rsid w:val="005C4207"/>
    <w:rsid w:val="005D5422"/>
    <w:rsid w:val="005F40D2"/>
    <w:rsid w:val="005F7E87"/>
    <w:rsid w:val="00604C13"/>
    <w:rsid w:val="006139B7"/>
    <w:rsid w:val="0061649D"/>
    <w:rsid w:val="00630EF4"/>
    <w:rsid w:val="00641C1A"/>
    <w:rsid w:val="00644458"/>
    <w:rsid w:val="00650A7A"/>
    <w:rsid w:val="006520B0"/>
    <w:rsid w:val="00652C9D"/>
    <w:rsid w:val="00653365"/>
    <w:rsid w:val="00654854"/>
    <w:rsid w:val="00662C54"/>
    <w:rsid w:val="00663C05"/>
    <w:rsid w:val="006668AD"/>
    <w:rsid w:val="0067451F"/>
    <w:rsid w:val="006817E7"/>
    <w:rsid w:val="00683595"/>
    <w:rsid w:val="00684CFF"/>
    <w:rsid w:val="00690D5A"/>
    <w:rsid w:val="006C72AD"/>
    <w:rsid w:val="006C7B91"/>
    <w:rsid w:val="00703075"/>
    <w:rsid w:val="007051F1"/>
    <w:rsid w:val="00711CF1"/>
    <w:rsid w:val="00712BE4"/>
    <w:rsid w:val="00725856"/>
    <w:rsid w:val="0073039F"/>
    <w:rsid w:val="0074182A"/>
    <w:rsid w:val="00747A31"/>
    <w:rsid w:val="007633A1"/>
    <w:rsid w:val="00767BA8"/>
    <w:rsid w:val="00772D8F"/>
    <w:rsid w:val="00780675"/>
    <w:rsid w:val="00792D9D"/>
    <w:rsid w:val="007A7A34"/>
    <w:rsid w:val="007C00F6"/>
    <w:rsid w:val="007D3639"/>
    <w:rsid w:val="007D4BB2"/>
    <w:rsid w:val="007F5D58"/>
    <w:rsid w:val="007F6B64"/>
    <w:rsid w:val="0081622C"/>
    <w:rsid w:val="00830DD0"/>
    <w:rsid w:val="00832015"/>
    <w:rsid w:val="00846C60"/>
    <w:rsid w:val="008607DA"/>
    <w:rsid w:val="00861BDC"/>
    <w:rsid w:val="008703CE"/>
    <w:rsid w:val="008858A5"/>
    <w:rsid w:val="0088748D"/>
    <w:rsid w:val="00894F93"/>
    <w:rsid w:val="00896D77"/>
    <w:rsid w:val="008A7A3B"/>
    <w:rsid w:val="008C71B9"/>
    <w:rsid w:val="008D23BF"/>
    <w:rsid w:val="008D36D6"/>
    <w:rsid w:val="008D78C9"/>
    <w:rsid w:val="008F7B1C"/>
    <w:rsid w:val="009178D7"/>
    <w:rsid w:val="00923D68"/>
    <w:rsid w:val="00930670"/>
    <w:rsid w:val="00932156"/>
    <w:rsid w:val="009333F0"/>
    <w:rsid w:val="00940367"/>
    <w:rsid w:val="00943287"/>
    <w:rsid w:val="009536AD"/>
    <w:rsid w:val="009570D8"/>
    <w:rsid w:val="00962612"/>
    <w:rsid w:val="0097127E"/>
    <w:rsid w:val="00980CFB"/>
    <w:rsid w:val="009A766A"/>
    <w:rsid w:val="009B7008"/>
    <w:rsid w:val="009C0AB4"/>
    <w:rsid w:val="009C1B34"/>
    <w:rsid w:val="009D670F"/>
    <w:rsid w:val="00A07DBD"/>
    <w:rsid w:val="00A17613"/>
    <w:rsid w:val="00A245D6"/>
    <w:rsid w:val="00A26DA3"/>
    <w:rsid w:val="00A31DEE"/>
    <w:rsid w:val="00A37CFC"/>
    <w:rsid w:val="00A44986"/>
    <w:rsid w:val="00A46A78"/>
    <w:rsid w:val="00A541B9"/>
    <w:rsid w:val="00A56C57"/>
    <w:rsid w:val="00A5769D"/>
    <w:rsid w:val="00A91726"/>
    <w:rsid w:val="00A9388D"/>
    <w:rsid w:val="00A977A6"/>
    <w:rsid w:val="00AA33E6"/>
    <w:rsid w:val="00AA5AAE"/>
    <w:rsid w:val="00AC0244"/>
    <w:rsid w:val="00AC1927"/>
    <w:rsid w:val="00AE239A"/>
    <w:rsid w:val="00AE4DAE"/>
    <w:rsid w:val="00AF4DA7"/>
    <w:rsid w:val="00B07D24"/>
    <w:rsid w:val="00B12677"/>
    <w:rsid w:val="00B160EC"/>
    <w:rsid w:val="00B225FC"/>
    <w:rsid w:val="00B24A4C"/>
    <w:rsid w:val="00B379C0"/>
    <w:rsid w:val="00B40A91"/>
    <w:rsid w:val="00B424FC"/>
    <w:rsid w:val="00B57937"/>
    <w:rsid w:val="00B76559"/>
    <w:rsid w:val="00B77170"/>
    <w:rsid w:val="00B8397C"/>
    <w:rsid w:val="00BA407B"/>
    <w:rsid w:val="00BA5B75"/>
    <w:rsid w:val="00BC39D4"/>
    <w:rsid w:val="00BD1228"/>
    <w:rsid w:val="00BD3A61"/>
    <w:rsid w:val="00BD3D85"/>
    <w:rsid w:val="00BE27D9"/>
    <w:rsid w:val="00BF6FDF"/>
    <w:rsid w:val="00C0158A"/>
    <w:rsid w:val="00C05262"/>
    <w:rsid w:val="00C102BE"/>
    <w:rsid w:val="00C136A2"/>
    <w:rsid w:val="00C3131C"/>
    <w:rsid w:val="00C354DD"/>
    <w:rsid w:val="00C559C6"/>
    <w:rsid w:val="00C648B3"/>
    <w:rsid w:val="00C7115B"/>
    <w:rsid w:val="00C82C47"/>
    <w:rsid w:val="00C8582A"/>
    <w:rsid w:val="00CA1557"/>
    <w:rsid w:val="00CA3E24"/>
    <w:rsid w:val="00CA69FB"/>
    <w:rsid w:val="00CB0522"/>
    <w:rsid w:val="00CD264A"/>
    <w:rsid w:val="00CF6CB9"/>
    <w:rsid w:val="00D11AD6"/>
    <w:rsid w:val="00D26264"/>
    <w:rsid w:val="00D302FE"/>
    <w:rsid w:val="00D4602F"/>
    <w:rsid w:val="00D51789"/>
    <w:rsid w:val="00D5389D"/>
    <w:rsid w:val="00D60772"/>
    <w:rsid w:val="00D61362"/>
    <w:rsid w:val="00D61A85"/>
    <w:rsid w:val="00D74DAA"/>
    <w:rsid w:val="00D82A5E"/>
    <w:rsid w:val="00DA4802"/>
    <w:rsid w:val="00DB5270"/>
    <w:rsid w:val="00DB7149"/>
    <w:rsid w:val="00DC1D37"/>
    <w:rsid w:val="00DC3DB5"/>
    <w:rsid w:val="00DC4D62"/>
    <w:rsid w:val="00DE457D"/>
    <w:rsid w:val="00DF099A"/>
    <w:rsid w:val="00DF5316"/>
    <w:rsid w:val="00E411E8"/>
    <w:rsid w:val="00E6280E"/>
    <w:rsid w:val="00E63867"/>
    <w:rsid w:val="00E63CF1"/>
    <w:rsid w:val="00E67DCB"/>
    <w:rsid w:val="00E67E64"/>
    <w:rsid w:val="00E74147"/>
    <w:rsid w:val="00E806D7"/>
    <w:rsid w:val="00E81ACC"/>
    <w:rsid w:val="00E834AC"/>
    <w:rsid w:val="00E871FA"/>
    <w:rsid w:val="00E91715"/>
    <w:rsid w:val="00E9505D"/>
    <w:rsid w:val="00EA74B3"/>
    <w:rsid w:val="00EB75D3"/>
    <w:rsid w:val="00EC024F"/>
    <w:rsid w:val="00ED26F8"/>
    <w:rsid w:val="00EF13CC"/>
    <w:rsid w:val="00EF4018"/>
    <w:rsid w:val="00F041F5"/>
    <w:rsid w:val="00F14520"/>
    <w:rsid w:val="00F241D1"/>
    <w:rsid w:val="00F27C25"/>
    <w:rsid w:val="00F379EC"/>
    <w:rsid w:val="00F41D95"/>
    <w:rsid w:val="00F466FE"/>
    <w:rsid w:val="00F47E92"/>
    <w:rsid w:val="00F5166E"/>
    <w:rsid w:val="00F66320"/>
    <w:rsid w:val="00F71AB8"/>
    <w:rsid w:val="00F81810"/>
    <w:rsid w:val="00F959C9"/>
    <w:rsid w:val="00FA3EF0"/>
    <w:rsid w:val="00FB1F1D"/>
    <w:rsid w:val="00FB36A3"/>
    <w:rsid w:val="00FB74C1"/>
    <w:rsid w:val="00FC3487"/>
    <w:rsid w:val="00FE18A1"/>
    <w:rsid w:val="00FE5068"/>
    <w:rsid w:val="00FE5118"/>
    <w:rsid w:val="00FE7551"/>
    <w:rsid w:val="00FE7DA5"/>
    <w:rsid w:val="00FF247C"/>
    <w:rsid w:val="00FF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D7C85"/>
  <w15:docId w15:val="{386D81AF-981E-4326-A07B-E52BFC0C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z-Cyrl-UZ" w:eastAsia="uz-Cyrl-U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1C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3A31CE"/>
    <w:rPr>
      <w:rFonts w:ascii="Arial" w:hAnsi="Arial"/>
      <w:b/>
      <w:sz w:val="24"/>
    </w:rPr>
  </w:style>
  <w:style w:type="paragraph" w:customStyle="1" w:styleId="Style2">
    <w:name w:val="Style2"/>
    <w:basedOn w:val="a"/>
    <w:uiPriority w:val="99"/>
    <w:rsid w:val="003A31CE"/>
    <w:pPr>
      <w:widowControl w:val="0"/>
      <w:autoSpaceDE w:val="0"/>
      <w:autoSpaceDN w:val="0"/>
      <w:adjustRightInd w:val="0"/>
      <w:spacing w:line="302" w:lineRule="exact"/>
      <w:ind w:firstLine="533"/>
      <w:jc w:val="both"/>
    </w:pPr>
    <w:rPr>
      <w:rFonts w:ascii="Arial" w:hAnsi="Arial"/>
    </w:rPr>
  </w:style>
  <w:style w:type="character" w:customStyle="1" w:styleId="FontStyle13">
    <w:name w:val="Font Style13"/>
    <w:uiPriority w:val="99"/>
    <w:rsid w:val="003A31CE"/>
    <w:rPr>
      <w:rFonts w:ascii="Arial" w:hAnsi="Arial"/>
      <w:sz w:val="24"/>
    </w:rPr>
  </w:style>
  <w:style w:type="paragraph" w:styleId="a3">
    <w:name w:val="Balloon Text"/>
    <w:basedOn w:val="a"/>
    <w:link w:val="a4"/>
    <w:uiPriority w:val="99"/>
    <w:semiHidden/>
    <w:rsid w:val="00641C1A"/>
    <w:rPr>
      <w:rFonts w:ascii="Segoe UI" w:hAnsi="Segoe UI" w:cs="Segoe UI"/>
      <w:sz w:val="18"/>
      <w:szCs w:val="18"/>
    </w:rPr>
  </w:style>
  <w:style w:type="character" w:customStyle="1" w:styleId="a4">
    <w:name w:val="Текст выноски Знак"/>
    <w:basedOn w:val="a0"/>
    <w:link w:val="a3"/>
    <w:uiPriority w:val="99"/>
    <w:semiHidden/>
    <w:locked/>
    <w:rsid w:val="00641C1A"/>
    <w:rPr>
      <w:rFonts w:ascii="Segoe UI" w:hAnsi="Segoe UI" w:cs="Segoe UI"/>
      <w:sz w:val="18"/>
      <w:szCs w:val="18"/>
      <w:lang w:eastAsia="ru-RU"/>
    </w:rPr>
  </w:style>
  <w:style w:type="paragraph" w:styleId="a5">
    <w:name w:val="List Paragraph"/>
    <w:basedOn w:val="a"/>
    <w:uiPriority w:val="99"/>
    <w:qFormat/>
    <w:rsid w:val="0059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8621-BFCB-4C8A-B51E-8A906C9B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cp:revision>
  <cp:lastPrinted>2019-12-09T03:59:00Z</cp:lastPrinted>
  <dcterms:created xsi:type="dcterms:W3CDTF">2022-01-28T10:52:00Z</dcterms:created>
  <dcterms:modified xsi:type="dcterms:W3CDTF">2022-01-28T10:52:00Z</dcterms:modified>
</cp:coreProperties>
</file>